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6A" w:rsidRDefault="005A0D6A" w:rsidP="005A0D6A">
      <w:r>
        <w:rPr>
          <w:b/>
          <w:i/>
        </w:rPr>
        <w:t>Что изменится в расчетах цифровыми рублями с 1 сентября 2026 года?</w:t>
      </w:r>
    </w:p>
    <w:p w:rsidR="005A0D6A" w:rsidRDefault="005A0D6A" w:rsidP="005A0D6A">
      <w:pPr>
        <w:spacing w:after="0" w:line="240" w:lineRule="auto"/>
      </w:pPr>
    </w:p>
    <w:p w:rsidR="005A0D6A" w:rsidRDefault="005A0D6A" w:rsidP="005A0D6A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5A0D6A" w:rsidRDefault="005A0D6A" w:rsidP="005A0D6A">
      <w:pPr>
        <w:spacing w:after="0" w:line="240" w:lineRule="auto"/>
      </w:pPr>
    </w:p>
    <w:p w:rsidR="005A0D6A" w:rsidRDefault="005A0D6A" w:rsidP="005A0D6A">
      <w:pPr>
        <w:spacing w:after="225" w:line="240" w:lineRule="auto"/>
        <w:ind w:firstLine="709"/>
        <w:jc w:val="both"/>
      </w:pPr>
      <w:r>
        <w:t>С 1 сентября 2026 года начинается очередной этап внедрения цифрового рубля. Федеральным законом от 23.07.2025 № 248-ФЗ установлена обязанность системно значимых банков и банков, признанных значимыми на рынке платежных услуг, предоставить клиентам возможность совершать операции с цифровыми рублями.</w:t>
      </w:r>
    </w:p>
    <w:p w:rsidR="005A0D6A" w:rsidRDefault="005A0D6A" w:rsidP="005A0D6A">
      <w:pPr>
        <w:spacing w:after="225" w:line="240" w:lineRule="auto"/>
        <w:ind w:firstLine="709"/>
        <w:jc w:val="both"/>
      </w:pPr>
      <w:r>
        <w:t xml:space="preserve">В тот же период обязанность принимать оплату цифровыми рублями возникает у крупных продавцов, исполнителей и владельцев </w:t>
      </w:r>
      <w:proofErr w:type="spellStart"/>
      <w:r>
        <w:t>агрегаторов</w:t>
      </w:r>
      <w:proofErr w:type="spellEnd"/>
      <w:r>
        <w:t>, если их выручка за предыдущий год превышает 120 млн рублей и одновременно соблюдаются установленные законом требования к обслуживающему банку.</w:t>
      </w:r>
    </w:p>
    <w:p w:rsidR="005A0D6A" w:rsidRDefault="005A0D6A" w:rsidP="005A0D6A">
      <w:pPr>
        <w:spacing w:after="225" w:line="240" w:lineRule="auto"/>
        <w:ind w:firstLine="709"/>
        <w:jc w:val="both"/>
      </w:pPr>
      <w:r>
        <w:t>Оплата товаров, работ и услуг цифровыми рублями физическими лицами будет осуществляться с использованием универсального платежного кода. После его сканирования гражданин сможет выбрать доступный способ безналичной оплаты.</w:t>
      </w:r>
    </w:p>
    <w:p w:rsidR="005A0D6A" w:rsidRDefault="005A0D6A" w:rsidP="005A0D6A">
      <w:pPr>
        <w:spacing w:after="225" w:line="240" w:lineRule="auto"/>
        <w:ind w:firstLine="709"/>
        <w:jc w:val="both"/>
      </w:pPr>
      <w:r>
        <w:t>Внедрение производится поэтапно, поэтому с 1 сентября 2026 года обязанность принимать цифровые рубли возникает не у всех магазинов и организаций.</w:t>
      </w:r>
    </w:p>
    <w:p w:rsidR="005A0D6A" w:rsidRDefault="005A0D6A" w:rsidP="005A0D6A">
      <w:pPr>
        <w:spacing w:after="225" w:line="240" w:lineRule="auto"/>
        <w:ind w:firstLine="709"/>
        <w:jc w:val="both"/>
      </w:pPr>
      <w:r>
        <w:t>Гражданам следует учитывать, что цифровой рубль является формой российской национальной валюты, а операции с ним совершаются через платформу цифрового рубля в порядке, установленном законодательством и правилами Банка России.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634"/>
    <w:rsid w:val="00470634"/>
    <w:rsid w:val="005A0D6A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6EBE6-7829-4EC5-AA41-2073761F9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D6A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2026-08-31T11:43:00Z</dcterms:created>
  <dcterms:modified xsi:type="dcterms:W3CDTF">2026-08-31T11:43:00Z</dcterms:modified>
</cp:coreProperties>
</file>