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5" w:rsidRDefault="007545D5" w:rsidP="007545D5">
      <w:r>
        <w:rPr>
          <w:b/>
          <w:i/>
        </w:rPr>
        <w:t>Будут ли электронные деньги в банках застрахованы государством?</w:t>
      </w:r>
    </w:p>
    <w:p w:rsidR="007545D5" w:rsidRDefault="007545D5" w:rsidP="007545D5">
      <w:pPr>
        <w:spacing w:after="0" w:line="240" w:lineRule="auto"/>
      </w:pPr>
    </w:p>
    <w:p w:rsidR="007545D5" w:rsidRDefault="007545D5" w:rsidP="007545D5">
      <w:pPr>
        <w:spacing w:after="0" w:line="240" w:lineRule="auto"/>
        <w:jc w:val="both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7545D5" w:rsidRDefault="007545D5" w:rsidP="007545D5">
      <w:pPr>
        <w:spacing w:after="0" w:line="240" w:lineRule="auto"/>
      </w:pPr>
    </w:p>
    <w:p w:rsidR="007545D5" w:rsidRDefault="007545D5" w:rsidP="007545D5">
      <w:pPr>
        <w:spacing w:after="225" w:line="240" w:lineRule="auto"/>
        <w:ind w:firstLine="709"/>
        <w:jc w:val="both"/>
      </w:pPr>
      <w:r>
        <w:t>Федеральным законом от 04.08.2026 № 317-ФЗ электронные денежные средства включены в систему страхования вкладов. Новые правила вступят в силу с 1 февраля 2027 года.</w:t>
      </w:r>
    </w:p>
    <w:p w:rsidR="007545D5" w:rsidRDefault="007545D5" w:rsidP="007545D5">
      <w:pPr>
        <w:spacing w:after="225" w:line="240" w:lineRule="auto"/>
        <w:ind w:firstLine="709"/>
        <w:jc w:val="both"/>
      </w:pPr>
      <w:r>
        <w:t>После вступления закона в силу к застрахованным средствам будут относиться электронные денежные средства владельцев, прошедших идентификацию или упрощенную идентификацию в соответствии с законодательством о противодействии легализации преступных доходов.</w:t>
      </w:r>
    </w:p>
    <w:p w:rsidR="007545D5" w:rsidRDefault="007545D5" w:rsidP="007545D5">
      <w:pPr>
        <w:spacing w:after="225" w:line="240" w:lineRule="auto"/>
        <w:ind w:firstLine="709"/>
        <w:jc w:val="both"/>
      </w:pPr>
      <w:r>
        <w:t>Анонимные электронные денежные средства, владелец которых не проходил идентификацию или упрощенную идентификацию, страхованию не подлежат.</w:t>
      </w:r>
    </w:p>
    <w:p w:rsidR="007545D5" w:rsidRDefault="007545D5" w:rsidP="007545D5">
      <w:pPr>
        <w:spacing w:after="225" w:line="240" w:lineRule="auto"/>
        <w:ind w:firstLine="709"/>
        <w:jc w:val="both"/>
      </w:pPr>
      <w:r>
        <w:t>При наступлении страхового случая возмещение будет рассчитываться по правилам Федерального закона «О страховании вкладов в банках Российской Федерации». По общему правилу страховое возмещение составляет 100 процентов застрахованных средств, но не более 1,4 млн рублей в совокупности на одного вкладчика в одном банке, если законом не предусмотрен специальный повышенный лимит.</w:t>
      </w:r>
    </w:p>
    <w:p w:rsidR="007545D5" w:rsidRDefault="007545D5" w:rsidP="007545D5">
      <w:pPr>
        <w:spacing w:after="225" w:line="240" w:lineRule="auto"/>
        <w:ind w:firstLine="709"/>
        <w:jc w:val="both"/>
      </w:pPr>
      <w:r>
        <w:t>Гражданам, использующим электронные кошельки банков, рекомендуется убедиться, что идентификационные данные актуальны и что оператором электронных денежных средств является организация, на которую распространяется система страхования.</w:t>
      </w:r>
    </w:p>
    <w:p w:rsidR="00F13A49" w:rsidRDefault="00F13A49"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1C4"/>
    <w:rsid w:val="007545D5"/>
    <w:rsid w:val="00F13A49"/>
    <w:rsid w:val="00F9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61B67-D0F7-4A0C-A884-FD9C46D0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5D5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2026-08-31T11:49:00Z</dcterms:created>
  <dcterms:modified xsi:type="dcterms:W3CDTF">2026-08-31T11:49:00Z</dcterms:modified>
</cp:coreProperties>
</file>