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Ответственность за незаконный оборот оружия</w:t>
      </w:r>
    </w:p>
    <w:p w14:paraId="02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3000000">
      <w:pPr>
        <w:widowControl w:val="1"/>
        <w:spacing w:line="240" w:lineRule="auto"/>
        <w:ind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Ответ на данный вопрос</w:t>
      </w:r>
      <w:r>
        <w:rPr>
          <w:rFonts w:ascii="Times New Roman" w:hAnsi="Times New Roman"/>
          <w:i w:val="1"/>
          <w:sz w:val="28"/>
        </w:rPr>
        <w:t xml:space="preserve"> даёт</w:t>
      </w:r>
      <w:r>
        <w:rPr>
          <w:rFonts w:ascii="Times New Roman" w:hAnsi="Times New Roman"/>
          <w:i w:val="1"/>
          <w:sz w:val="28"/>
        </w:rPr>
        <w:t xml:space="preserve"> помощник </w:t>
      </w:r>
      <w:r>
        <w:rPr>
          <w:rFonts w:ascii="Times New Roman" w:hAnsi="Times New Roman"/>
          <w:i w:val="1"/>
          <w:sz w:val="28"/>
        </w:rPr>
        <w:t>прокурора Челно-Вершинского района Самарской области Емлиханов Ильдар Рамисович</w:t>
      </w:r>
      <w:r>
        <w:rPr>
          <w:rFonts w:ascii="Times New Roman" w:hAnsi="Times New Roman"/>
          <w:i w:val="1"/>
          <w:sz w:val="28"/>
        </w:rPr>
        <w:t>.</w:t>
      </w:r>
      <w:r>
        <w:rPr>
          <w:rFonts w:ascii="Times New Roman" w:hAnsi="Times New Roman"/>
          <w:i w:val="1"/>
          <w:sz w:val="28"/>
        </w:rPr>
        <w:t xml:space="preserve"> </w:t>
      </w:r>
    </w:p>
    <w:p w14:paraId="04000000">
      <w:pPr>
        <w:widowControl w:val="1"/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0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Оружие всегда было опасным инструментом поражения. С его использованием совершается значительное количество преступлений.</w:t>
      </w:r>
    </w:p>
    <w:p w14:paraId="0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большинстве совершенных тяжких и особо тяжких преступлений фигурируют квалифицирующие признаки ст. 222 Уголовного кодекса Российской Федерации – незаконные приобретение, передача, сбыт, хранение, перевозка или ношение оружия, его основных частей, боеприпасов.</w:t>
      </w:r>
    </w:p>
    <w:p w14:paraId="07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Таким образом, именно незаконный оборот оружия является одним из факторов, порождающих совершение тяжких и особо тяжких </w:t>
      </w:r>
      <w:r>
        <w:rPr>
          <w:rFonts w:ascii="Times New Roman" w:hAnsi="Times New Roman"/>
          <w:color w:val="000000"/>
          <w:sz w:val="28"/>
        </w:rPr>
        <w:t>преступлений</w:t>
      </w:r>
      <w:r>
        <w:rPr>
          <w:rFonts w:ascii="Times New Roman" w:hAnsi="Times New Roman"/>
          <w:color w:val="000000"/>
          <w:sz w:val="28"/>
        </w:rPr>
        <w:t>,в</w:t>
      </w:r>
      <w:r>
        <w:rPr>
          <w:rFonts w:ascii="Times New Roman" w:hAnsi="Times New Roman"/>
          <w:color w:val="000000"/>
          <w:sz w:val="28"/>
        </w:rPr>
        <w:t xml:space="preserve"> частности, убийств, разбоев и бандитизма.</w:t>
      </w:r>
    </w:p>
    <w:p w14:paraId="0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Под незаконным ношением огнестрельного оружия, его основных частей, боеприпасов, взрывчатых веществ или взрывных устрой</w:t>
      </w:r>
      <w:r>
        <w:rPr>
          <w:rFonts w:ascii="Times New Roman" w:hAnsi="Times New Roman"/>
          <w:color w:val="000000"/>
          <w:sz w:val="28"/>
        </w:rPr>
        <w:t>ств сл</w:t>
      </w:r>
      <w:r>
        <w:rPr>
          <w:rFonts w:ascii="Times New Roman" w:hAnsi="Times New Roman"/>
          <w:color w:val="000000"/>
          <w:sz w:val="28"/>
        </w:rPr>
        <w:t>едует понимать нахождение их в одежде или непосредственно на теле виновного, а равно переноску в сумке, портфеле.</w:t>
      </w:r>
    </w:p>
    <w:p w14:paraId="0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Незаконное хранение огнестрельного оружия, его основных частей, боеприпасов, взрывчатых веществ или взрывных устройств – это сокрытие указанных предметов в помещениях, тайниках, а также в иных местах, обеспечивающих их сохранность, незаконная перевозка – их перемещение на любом виде транспорта, незаконное приобретение – их покупка, получение в дар или в уплату долга, в обмен на товары и вещи, присвоение найденного.</w:t>
      </w:r>
    </w:p>
    <w:p w14:paraId="0A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Незаконный сбыт указанных предметов - это безвозвратное (в отличие от незаконной передачи) отчуждение другому лицу в результате совершения какой-либо противоправной сделки (возмездной или безвозмездной), т.е. продажу, дарение, обмен.</w:t>
      </w:r>
    </w:p>
    <w:p w14:paraId="0B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Законодателем приняты меры по усилению уголовной ответственности в сфере противодействия незаконному обороту оружия, его основных частей, боеприпасов, взрывчатых веществ и взрывных устройств.</w:t>
      </w:r>
    </w:p>
    <w:p w14:paraId="0C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Так, за незаконные приобретение, передачу, хранение, перевозку, пересылку или ношение оружия, основных частей огнестрельного оружия, боеприпасов (ч. 1 ст. 222 УК РФ) установлена ответственность в виде ограничения свободы на срок до 3 лет, принудительных работ на срок до 4 лет, ареста на срок до 6 месяцев и лишения свободы на срок от 3 до 5 лет со </w:t>
      </w:r>
      <w:r>
        <w:rPr>
          <w:rFonts w:ascii="Times New Roman" w:hAnsi="Times New Roman"/>
          <w:color w:val="000000"/>
          <w:sz w:val="28"/>
        </w:rPr>
        <w:t>штрафом в размере</w:t>
      </w:r>
      <w:r>
        <w:rPr>
          <w:rFonts w:ascii="Times New Roman" w:hAnsi="Times New Roman"/>
          <w:color w:val="000000"/>
          <w:sz w:val="28"/>
        </w:rPr>
        <w:t xml:space="preserve"> до 80 000 рублей или в размере заработной платы или иного дохода осужденного за период до 3 месяцев либо без такового.</w:t>
      </w:r>
    </w:p>
    <w:p w14:paraId="0D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Более суровая ответственность установлена за незаконный сбыт огнестрельного оружия, его основных частей, боеприпасов к нему</w:t>
      </w:r>
    </w:p>
    <w:p w14:paraId="0E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(за исключением крупнокалиберного огнестрельного оружия, его основных частей и боеприпасов к нему, гражданского огнестрельного гладкоствольного длинноствольного оружия, его основных частей и патронов к нему, огнестрельного оружия ограниченного поражения, его основных частей и патронов к нему). Наказание за данное преступление предусмотрено в виде лишения свободы на срок от 5 до 8 лет со штрафом в размере до 100 000 рублей или в размере заработной платы или ин</w:t>
      </w:r>
      <w:r>
        <w:rPr>
          <w:rFonts w:ascii="Times New Roman" w:hAnsi="Times New Roman"/>
          <w:color w:val="000000"/>
          <w:sz w:val="28"/>
        </w:rPr>
        <w:t xml:space="preserve">ого дохода осужденного за период </w:t>
      </w:r>
      <w:r>
        <w:rPr>
          <w:rFonts w:ascii="Times New Roman" w:hAnsi="Times New Roman"/>
          <w:color w:val="000000"/>
          <w:sz w:val="28"/>
        </w:rPr>
        <w:t>до 6 месяцев либо без такового.</w:t>
      </w:r>
    </w:p>
    <w:p w14:paraId="0F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Совершение преступления группой лиц или с использованием служебного положения, информационно-телекоммуникационных сетей, в том числе сети Интернет, влечет наказание в виде лишения свободы на срок от 8 до 12 лет со штрафом от 300 000 до 500 000 рублей или в размере заработной платы или иного дохода осужденного за период от одного года до восемнадцати месяцев либо без такового.</w:t>
      </w:r>
    </w:p>
    <w:p w14:paraId="10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Ужесточена ответственность за незаконное приобретение, передачу, сбыт, хранение, перевозку, пересылку или ношение взрывчатых веществ или взрывных устройств (ст. 222.1 УК РФ). Виновному в этом случае грозит наказание в виде лишения свободы на срок от 6 до 8 лет со штрафом в размере до 100 000 рублей или в размере заработной платы или иного дохода осужденного за период</w:t>
      </w:r>
    </w:p>
    <w:p w14:paraId="11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до шести месяцев. Незаконный сбыт взрывчатых веществ и взрывных устройств, совершенный организованной группой, наказывается лишением свободы сроком до 20 лет со штрафом до 1 миллиона рублей.</w:t>
      </w:r>
    </w:p>
    <w:p w14:paraId="12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 уголовно наказуемым деяниям относятся незаконные изготовление, переделка или ремонт огнестрельного оружия, его основных частей</w:t>
      </w:r>
    </w:p>
    <w:p w14:paraId="13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(за исключением огнестрельного оружия ограниченного поражения), а равно незаконное изготовление боеприпасов к огнестрельному оружию (ст. 223 УК РФ), которые наказываются лишением свободы на срок от 4 до 6 лет со штрафом в размере до 200 000 рублей или в размере заработной платы или иного дохода осужденного за период от шести месяцев до одного года.</w:t>
      </w:r>
      <w:r>
        <w:rPr>
          <w:rFonts w:ascii="Times New Roman" w:hAnsi="Times New Roman"/>
          <w:color w:val="000000"/>
          <w:sz w:val="28"/>
        </w:rPr>
        <w:t xml:space="preserve"> За совершение преступления группой лиц по предварительному сговору наказание возможно  в виде лишения свободы сроком до 8 лет со штрафом в размере до 300 000 рублей.</w:t>
      </w:r>
    </w:p>
    <w:p w14:paraId="14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Вместе с тем лицо, добровольно сдавшее вышеупомянутые предметы, освобождается от уголовной ответственности. При этом не может </w:t>
      </w:r>
      <w:r>
        <w:rPr>
          <w:rFonts w:ascii="Times New Roman" w:hAnsi="Times New Roman"/>
          <w:color w:val="000000"/>
          <w:sz w:val="28"/>
        </w:rPr>
        <w:t>признаваться добровольной сдачей предметов их изъятие при задержании лица, а также при производстве следственных действий по их обнаружению и изъятию.</w:t>
      </w:r>
    </w:p>
    <w:p w14:paraId="1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Федеральный закон от 2 июля 2021 г. № 313-ФЗ «О внесении изменений в Федеральный закон «Об оружии» и статьи 79 и 91.1 Федерального закона «Об основах охраны здоровья граждан в Российской Федерации» внес некоторые изменения и в законодательство, регламентирующее получение разрешения на оружие.</w:t>
      </w:r>
    </w:p>
    <w:p w14:paraId="1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Медицинское обследование пройти теперь можно будет только в государственных или муниципальных поликлиниках. Все результаты освидетельствований будут заноситься в специальный электронный реестр, доступ к которому получит </w:t>
      </w:r>
      <w:r>
        <w:rPr>
          <w:rFonts w:ascii="Times New Roman" w:hAnsi="Times New Roman"/>
          <w:color w:val="000000"/>
          <w:sz w:val="28"/>
        </w:rPr>
        <w:t>Росгвардия</w:t>
      </w:r>
      <w:r>
        <w:rPr>
          <w:rFonts w:ascii="Times New Roman" w:hAnsi="Times New Roman"/>
          <w:color w:val="000000"/>
          <w:sz w:val="28"/>
        </w:rPr>
        <w:t>. Сам заявитель при получении разрешения на оружие больше никакие справки предоставлять не будет.</w:t>
      </w:r>
    </w:p>
    <w:p w14:paraId="17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Проверять здоровье владельцы оружия должны раз в 5 лет, но, если у человека выявят заболевание, которое входит в перечень противопоказаний, оружие у него будет изъято, а разрешение приостановлено на время прохождения внеочередного </w:t>
      </w:r>
      <w:r>
        <w:rPr>
          <w:rFonts w:ascii="Times New Roman" w:hAnsi="Times New Roman"/>
          <w:color w:val="000000"/>
          <w:sz w:val="28"/>
        </w:rPr>
        <w:t>медосвидетельствования</w:t>
      </w:r>
      <w:r>
        <w:rPr>
          <w:rFonts w:ascii="Times New Roman" w:hAnsi="Times New Roman"/>
          <w:color w:val="000000"/>
          <w:sz w:val="28"/>
        </w:rPr>
        <w:t>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Normal (Web)"/>
    <w:basedOn w:val="Style_1"/>
    <w:link w:val="Style_4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4_ch" w:type="character">
    <w:name w:val="Normal (Web)"/>
    <w:basedOn w:val="Style_1_ch"/>
    <w:link w:val="Style_4"/>
    <w:rPr>
      <w:rFonts w:ascii="Times New Roman" w:hAnsi="Times New Roman"/>
      <w:sz w:val="24"/>
    </w:rPr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List Paragraph"/>
    <w:basedOn w:val="Style_1"/>
    <w:link w:val="Style_7_ch"/>
    <w:pPr>
      <w:widowControl w:val="1"/>
      <w:ind w:left="720"/>
      <w:contextualSpacing w:val="1"/>
    </w:pPr>
  </w:style>
  <w:style w:styleId="Style_7_ch" w:type="character">
    <w:name w:val="List Paragraph"/>
    <w:basedOn w:val="Style_1_ch"/>
    <w:link w:val="Style_7"/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basedOn w:val="Style_1"/>
    <w:next w:val="Style_1"/>
    <w:link w:val="Style_9_ch"/>
    <w:uiPriority w:val="9"/>
    <w:qFormat/>
    <w:pPr>
      <w:keepNext w:val="1"/>
      <w:keepLines w:val="1"/>
      <w:widowControl w:val="1"/>
      <w:spacing w:after="0" w:before="200"/>
      <w:ind/>
      <w:outlineLvl w:val="2"/>
    </w:pPr>
    <w:rPr>
      <w:rFonts w:asciiTheme="majorAscii" w:hAnsiTheme="majorHAnsi"/>
      <w:b w:val="1"/>
      <w:color w:themeColor="accent1" w:val="4472C4"/>
    </w:rPr>
  </w:style>
  <w:style w:styleId="Style_9_ch" w:type="character">
    <w:name w:val="heading 3"/>
    <w:basedOn w:val="Style_1_ch"/>
    <w:link w:val="Style_9"/>
    <w:rPr>
      <w:rFonts w:asciiTheme="majorAscii" w:hAnsiTheme="majorHAnsi"/>
      <w:b w:val="1"/>
      <w:color w:themeColor="accent1" w:val="4472C4"/>
    </w:rPr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1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1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basedOn w:val="Style_14"/>
    <w:link w:val="Style_13_ch"/>
    <w:rPr>
      <w:color w:val="0000FF"/>
      <w:u w:val="single"/>
    </w:rPr>
  </w:style>
  <w:style w:styleId="Style_13_ch" w:type="character">
    <w:name w:val="Hyperlink"/>
    <w:basedOn w:val="Style_14_ch"/>
    <w:link w:val="Style_13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1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Balloon Text"/>
    <w:basedOn w:val="Style_1"/>
    <w:link w:val="Style_19_ch"/>
    <w:pPr>
      <w:widowControl w:val="1"/>
      <w:spacing w:after="0" w:line="240" w:lineRule="auto"/>
      <w:ind/>
    </w:pPr>
    <w:rPr>
      <w:rFonts w:ascii="Tahoma" w:hAnsi="Tahoma"/>
      <w:sz w:val="16"/>
    </w:rPr>
  </w:style>
  <w:style w:styleId="Style_19_ch" w:type="character">
    <w:name w:val="Balloon Text"/>
    <w:basedOn w:val="Style_1_ch"/>
    <w:link w:val="Style_19"/>
    <w:rPr>
      <w:rFonts w:ascii="Tahoma" w:hAnsi="Tahoma"/>
      <w:sz w:val="16"/>
    </w:rPr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Strong"/>
    <w:basedOn w:val="Style_14"/>
    <w:link w:val="Style_21_ch"/>
    <w:rPr>
      <w:b w:val="1"/>
    </w:rPr>
  </w:style>
  <w:style w:styleId="Style_21_ch" w:type="character">
    <w:name w:val="Strong"/>
    <w:basedOn w:val="Style_14_ch"/>
    <w:link w:val="Style_21"/>
    <w:rPr>
      <w:b w:val="1"/>
    </w:rPr>
  </w:style>
  <w:style w:styleId="Style_22" w:type="paragraph">
    <w:name w:val="toc 5"/>
    <w:next w:val="Style_1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1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24" w:type="paragraph">
    <w:name w:val="Title"/>
    <w:next w:val="Style_1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No Spacing"/>
    <w:link w:val="Style_26_ch"/>
    <w:pPr>
      <w:widowControl w:val="1"/>
      <w:spacing w:after="0" w:line="240" w:lineRule="auto"/>
      <w:ind/>
    </w:pPr>
  </w:style>
  <w:style w:styleId="Style_26_ch" w:type="character">
    <w:name w:val="No Spacing"/>
    <w:link w:val="Style_26"/>
  </w:style>
  <w:style w:styleId="Style_27" w:type="paragraph">
    <w:name w:val="heading 2"/>
    <w:basedOn w:val="Style_1"/>
    <w:next w:val="Style_1"/>
    <w:link w:val="Style_27_ch"/>
    <w:uiPriority w:val="9"/>
    <w:qFormat/>
    <w:pPr>
      <w:keepNext w:val="1"/>
      <w:keepLines w:val="1"/>
      <w:widowControl w:val="1"/>
      <w:spacing w:after="0" w:before="200"/>
      <w:ind/>
      <w:outlineLvl w:val="1"/>
    </w:pPr>
    <w:rPr>
      <w:rFonts w:asciiTheme="majorAscii" w:hAnsiTheme="majorHAnsi"/>
      <w:b w:val="1"/>
      <w:color w:themeColor="accent1" w:val="4472C4"/>
      <w:sz w:val="26"/>
    </w:rPr>
  </w:style>
  <w:style w:styleId="Style_27_ch" w:type="character">
    <w:name w:val="heading 2"/>
    <w:basedOn w:val="Style_1_ch"/>
    <w:link w:val="Style_27"/>
    <w:rPr>
      <w:rFonts w:asciiTheme="majorAscii" w:hAnsiTheme="majorHAnsi"/>
      <w:b w:val="1"/>
      <w:color w:themeColor="accent1" w:val="4472C4"/>
      <w:sz w:val="26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2026-06-30T07:15:19Z</dcterms:created>
  <dcterms:modified xsi:type="dcterms:W3CDTF">2026-06-30T07:15:19Z</dcterms:modified>
</cp:coreProperties>
</file>